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                  LEGE  Nr. 19/2020 din 14 martie 2020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privind acordarea unor zile libere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închiderii temporare a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Text în vigoare începând cu data de 21 martie 2020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REALIZATOR: COMPANIA DE INFORMATICĂ NEAMŢ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Text actualizat prin produsul informatic legislativ LEX EXPERT în baza actelor normative modificatoare, publicate în Monitorul Oficial al României, Partea I, până la 21 martie 2020.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Act de bază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  <w:r w:rsidRPr="00B66477">
        <w:rPr>
          <w:rFonts w:ascii="Times New Roman" w:hAnsi="Times New Roman" w:cs="Times New Roman"/>
          <w:sz w:val="24"/>
          <w:szCs w:val="24"/>
        </w:rPr>
        <w:t xml:space="preserve">: 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>Legea nr. 19/2020, publicată în Monitorul Oficial al României, Partea I, nr. 209 din 14 martie 2020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Acte modificatoare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  <w:r w:rsidRPr="00B664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Ordonanţa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 Guvernului nr. 30/2020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  <w:r w:rsidRPr="00B66477">
        <w:rPr>
          <w:rFonts w:ascii="Times New Roman" w:hAnsi="Times New Roman" w:cs="Times New Roman"/>
          <w:sz w:val="24"/>
          <w:szCs w:val="24"/>
        </w:rPr>
        <w:t xml:space="preserve">: 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Decretul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Preşedintelui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României nr. 195/2020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efectuate prin actele normative enumerate mai sus sunt scrise cu font italic.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faţa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fiecărei modificări sau completări este indicat actul normativ care a efectuat modificarea sau completarea respectivă, în forma </w:t>
      </w:r>
      <w:r w:rsidRPr="00B66477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66477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etc.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#CIN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 se vedea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Hotărârea Guvernului nr. 217/2020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pentru aplicarea prevederilor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Legii nr. 19/2020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privind acordarea unor zile libere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părinţilor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pentru supravegherea copiilor,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închiderii temporare 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învăţământ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Reproducem mai jos prevederile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anexa nr. 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la Decretul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Preşedintelui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României nr. 195/2020 (</w:t>
      </w:r>
      <w:r w:rsidRPr="00B66477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"ART. 32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(1) Pe perioada stării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prevederile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Legii nr. 19/2020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privind acordarea unor zile libere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părinţilor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pentru supravegherea copiilor,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închiderii temporare 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învăţământ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nu se aplică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angajaţilor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sistemului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naţional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apărare,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angajaţilor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 penitenciare, personalului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sanitare publice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altor categorii stabilite prin ordin al ministrului afacerilor interne, al ministrului economiei, energiei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mediului de afaceri,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 ministrului transporturilor, infrastructurii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comunicaţiilor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, după caz.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(2) Personalul prevăzut la alin. (1) are dreptul la o majorare a salariului în cuantumul prevăzut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din Legea nr. 19/2020,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care celălalt părinte nu beneficiază de drepturile reglementate în această lege."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b/>
          <w:bCs/>
          <w:sz w:val="24"/>
          <w:szCs w:val="24"/>
        </w:rPr>
        <w:t>Parlamentul României</w:t>
      </w:r>
      <w:r w:rsidRPr="00B66477">
        <w:rPr>
          <w:rFonts w:ascii="Times New Roman" w:hAnsi="Times New Roman" w:cs="Times New Roman"/>
          <w:sz w:val="24"/>
          <w:szCs w:val="24"/>
        </w:rPr>
        <w:t xml:space="preserve"> adoptă prezenta lege.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1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(1) Se acordă zile libere unuia dintre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părinţi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pentru supravegherea copiilor,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suspendării cursurilor sau închiderii temporare 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învăţământ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unde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aceştia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sunt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lastRenderedPageBreak/>
        <w:t>înscrişi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ca urmare 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meteorologice nefavorabile sau a altor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extreme decretate astfel de către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autorităţile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competente cu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atribuţii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domeniu.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(2) Prevederile alin. (1) se aplică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care îndeplinesc cumulativ următoarele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>: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a) au copii cu vârsta de pâ</w:t>
      </w:r>
      <w:bookmarkStart w:id="0" w:name="_GoBack"/>
      <w:bookmarkEnd w:id="0"/>
      <w:r w:rsidRPr="00B66477">
        <w:rPr>
          <w:rFonts w:ascii="Times New Roman" w:hAnsi="Times New Roman" w:cs="Times New Roman"/>
          <w:sz w:val="24"/>
          <w:szCs w:val="24"/>
        </w:rPr>
        <w:t xml:space="preserve">nă la 12 ani,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în cadrul unei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sau au copii cu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cu vârstă de până la 18 ani,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în cadrul unei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>;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b) locul de muncă ocupat nu permite munca la domiciliu sau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telemunca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>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(3) Prin părinte, în sensul prezentei legi, se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înţelege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a) părintele firesc, potrivit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Legii nr. 287/2009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privind Codul civil, republicată,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ulterioare;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b) adoptatorul;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c) persoana care are copilul/copiii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încredinţare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vederea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adopţiei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d) persoana care are în plasament copilul sau în tutelă;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e) persoana desemnată conform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104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(2) din Legea nr. 272/2004 privind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protecţia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promovarea drepturilor copilului, republicată,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ulterioare;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f) părintele sau reprezentantul legal al persoanei adulte cu handicap înscrisă într-o unitate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învăţământ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(3^1) Beneficiază de prevederile prezentei legi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părintele sau reprezentantul legal al copilului cu handicap grav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neşcolarizat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care a optat pentru acordarea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indemnizaţiei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Legii nr. 448/2006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privind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protecţia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promovarea drepturilor persoanelor cu handicap, republicată,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ulterioare, doar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care activitatea serviciului de zi este suspendată ca urmare 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meteorologice nefavorabile sau a altor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extreme decretate astfel de către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autorităţile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competente cu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atribuţii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domeniu.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(3^2) Prevederile prezentei legi se aplică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pentru părintele sau reprezentantul legal care are în îngrijire, supraveghere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întreţinere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persoana adultă încadrată în grad de handicap grav sau în grad de handicap grav cu asistent personal pentru care s-a optat pentru acordarea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indemnizaţiei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Legii nr. 448/2006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republicată,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ulterioare, doar dacă beneficiază de servicii de zi, a căror activitate a fost suspendată ca urmare 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meteorologice nefavorabile sau a altor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extreme decretate astfel de către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autorităţile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competente cu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atribuţii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domeniu.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(3^3) Prevederile prezentei legi nu se aplică în cazul în care una dintre persoanele prevăzute la alin. (3) se află în una sau mai multe din următoarele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a) este în concediul prevăzut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sau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(2) ori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Ordonanţa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 Guvernului nr. 111/2010 privind concediul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lunară pentru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creşterea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copiilor, aprobată cu modificări prin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Legea nr. 132/2011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ulterioare;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b) este asistentul personal al unuia dintre copiii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aflaţi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întreţinere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c) se află în concediu de odihnă/concediu fără plată.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(3^4) Prevederile prezentei legi nu se aplică în cazul persoanelor ale căror raporturi de muncă sunt suspendate pentru întreruperea temporară 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activităţii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angajatorului sau în cazul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soţului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soţiei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acestora,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52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lit. c) din Legea nr. 53/2003 - Codul muncii, republicată,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ulterioare. Prevederile prezentei legi nu se aplică nici în cazul în care celălalt părinte nu realizează venituri din salarii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asimilate salariilor, venituri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activităţi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independente, venituri din drepturi de proprietate intelectuală, venituri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activităţi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agricole, silvicultură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piscicultură, supuse impozitului pe venit potrivit prevederilor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Legii nr. 227/2015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privind Codul fiscal,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lastRenderedPageBreak/>
        <w:t xml:space="preserve">    (4) Persoanele prevăzute la alin. (2) au dreptul la zile libere plătite, pe toată perioada în care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competente decid închiderea respectivelor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>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(1) Zilele libere se acordă la cererea unuia dintre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, depusă la angajatorul persoanei care va supraveghea copilul în perioada prevăzută la </w:t>
      </w:r>
      <w:r w:rsidRPr="00B66477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B66477">
        <w:rPr>
          <w:rFonts w:ascii="Times New Roman" w:hAnsi="Times New Roman" w:cs="Times New Roman"/>
          <w:sz w:val="24"/>
          <w:szCs w:val="24"/>
        </w:rPr>
        <w:t xml:space="preserve"> alin. (4).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(2) Cererea prevăzută la alin. (1) va fi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însoţită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o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declaraţie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 propria răspundere a celuilalt părinte, din care să rezulte că acesta nu a solicitat la locul său de muncă zile libere ce i s-ar cuveni potrivit prezentei legi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nici nu se află în una dintre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prevăzute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(3^3), precum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o copie a certificatului/certificatelor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naştere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al/ale copilului/copiilor.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(3) Prevederile alin. (2) nu se aplică persoanei singure din familia monoparentală, definită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 Legea nr. 277/2010 privind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alocaţia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pentru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susţinerea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familiei, republicată,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(4) Acordarea zilelor libere pentru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angajaţii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sistemului energetic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naţional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operative de la sectoarele nucleare,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cu foc continuu,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asistenţă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socială,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telecomunicaţii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ale radioului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televiziunii publice, din transporturile pe căile ferate,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care asigură transportul în comun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salubritatea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localităţilor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precum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aprovizionarea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populaţiei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cu gaze, energie electrică, căldură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apă,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comerţ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alimentar,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producţie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distribuţie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medicamente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echipamente sanitare,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distribuţie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carburanţi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personalul din cadrul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unităţilor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farmaceutice se realizează doar cu acordul angajatorului.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(5) Angajatorii din domeniile prevăzute la alin. (4) acordă zilele libere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prezentei legi, doar după epuizarea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opţiunilor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prevăzute de reglementările legale în vigoare pentru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desfăşurarea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activităţii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obligaţia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asigurării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continuităţii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activităţii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respectiv prin programe individualizate de lucru, munca în schimburi, munca la domiciliu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telemunca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3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(1)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pentru fiecare zi liberă se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plăteşte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 capitolul aferent cheltuielilor de personal din bugetul de venituri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cheltuieli al angajatorului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este în cuantum de 75% din salariul de bază corespunzător unei zile lucrătoare, dar nu mai mult de corespondentul pe zi a 75% din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câştigul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salarial mediu brut utilizat la fundamentarea bugetului asigurărilor sociale de stat.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(2)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prevăzută la alin. (1) este supusă impozitării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plăţii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contribuţiilor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asigurări sociale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prevăzute de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Legea nr. 227/2015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privind Codul fiscal,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(3) Prin derogare de la prevederile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Legii nr. 200/2006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privind constituirea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utilizarea Fondului de garantare pentru plata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creanţelor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salariale, cu modificările ulterioare, sumele pentru plata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indemnizaţiei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prevăzute la alin. (1) se decontează din acest fond numai pe perioada prevăzută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(4).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(4) Angajatorii pot cere numai decontarea sumelor reprezentând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netă, încasată efectiv de părinte.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(5) Impozitele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contribuţiile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asigurări sociale aferente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indemnizaţiei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prevăzute la alin. (1) se suportă din capitolul aferent cheltuielilor de personal din bugetul de venituri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cheltuieli al angajatorului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condiţiile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prevăzute de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Legea nr. 227/2015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(6) Pentru personalul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instituţiilor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autorităţilor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publice, astfel cum sunt definite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pct. 30 din Legea privind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finanţele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publice nr. 500/2002,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pct. 39 din Legea privind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finanţele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publice locale nr. 273/2006,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ulterioare, indiferent de sistemul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finanţare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subordonare, inclusiv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activităţile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finanţate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integral din venituri proprii,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înfiinţate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 lângă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lastRenderedPageBreak/>
        <w:t>instituţiile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publice,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prevăzută la alin. (1) nu se ia în calcul la determinarea limitei prevăzute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25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 Legea-cadru nr. 153/2017 privind salarizarea personalului plătit din fonduri publice,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(7) Până la închiderea anului fiscal, sumele decontate potrivit alin. (1) vor fi înapoiate Fondului de garantare din bugetul de stat, după caz, potrivit unei proceduri stabilite prin hotărâre a Guvernului.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3^1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(1) Personalul prevăzut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*) alin. (1) din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anexa nr. 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la Decretul nr. 195/2020 privind instituirea stării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 teritoriul României are dreptul la o majorare acordată suplimentar drepturilor salariale cuvenite, în cuantumul prevăzut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(1), corespunzător numărului de zile lucrătoare din perioada stării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situaţia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în care celălalt părinte nu beneficiază de drepturile prevăzute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sau în prezentul articol.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(2) Pentru personalul din Sistemul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naţional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apărare, ordine publică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securitate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naţională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>, majorarea prevăzută la alin. (1) se suportă din bugetul de stat.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(3) Pentru personalul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instituţiilor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autorităţilor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publice, astfel cum sunt definite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pct. 30 din Legea nr. 500/2002 privind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finanţele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publice,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pct. 39 din Legea nr. 273/2006 privind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finanţele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publice locale,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ulterioare, indiferent de sistemul de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finanţare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de subordonare, inclusiv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activităţile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finanţate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integral din venituri proprii,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înfiinţate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pe lângă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instituţiile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publice, majorarea prevăzută la alin. (1) nu se ia în calcul la determinarea limitei prevăzute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25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 Legea-cadru nr. 153/2017, cu modificările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completările ulterioare.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#CIN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*)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Menţionăm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că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anexa nr. 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la Decretul nr. 195/2020 (</w:t>
      </w:r>
      <w:r w:rsidRPr="00B66477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>) este reprodus în nota 2 de la începutul textului actualizat.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4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Numărul de zile libere acordate potrivit prezentei legi, respectiv numărul de zile lucrătoare pentru care se acordă majorarea prevăzută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3^1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se stabilesc de către Guvern, prin hotărâre, pentru fiecare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situaţie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dintre cele prevăzute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(1)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3^1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Prevederile prezentei legi se aplică tuturor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din mediul public </w:t>
      </w:r>
      <w:proofErr w:type="spellStart"/>
      <w:r w:rsidRPr="00B6647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sz w:val="24"/>
          <w:szCs w:val="24"/>
        </w:rPr>
        <w:t xml:space="preserve"> privat.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#M2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</w:t>
      </w:r>
      <w:r w:rsidRPr="00B66477">
        <w:rPr>
          <w:rFonts w:ascii="Times New Roman" w:hAnsi="Times New Roman" w:cs="Times New Roman"/>
          <w:color w:val="FF0000"/>
          <w:sz w:val="24"/>
          <w:szCs w:val="24"/>
          <w:u w:val="single"/>
        </w:rPr>
        <w:t>ART. 6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   În termen de 30 de zile de la intrarea în vigoare a prezentei legi va fi aprobată hotărârea Guvernului prevăzută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3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alin. (7), precum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procedurile aferente decontării sumelor privind plata </w:t>
      </w:r>
      <w:proofErr w:type="spellStart"/>
      <w:r w:rsidRPr="00B66477">
        <w:rPr>
          <w:rFonts w:ascii="Times New Roman" w:hAnsi="Times New Roman" w:cs="Times New Roman"/>
          <w:i/>
          <w:iCs/>
          <w:sz w:val="24"/>
          <w:szCs w:val="24"/>
        </w:rPr>
        <w:t>indemnizaţiei</w:t>
      </w:r>
      <w:proofErr w:type="spellEnd"/>
      <w:r w:rsidRPr="00B66477">
        <w:rPr>
          <w:rFonts w:ascii="Times New Roman" w:hAnsi="Times New Roman" w:cs="Times New Roman"/>
          <w:i/>
          <w:iCs/>
          <w:sz w:val="24"/>
          <w:szCs w:val="24"/>
        </w:rPr>
        <w:t xml:space="preserve"> prevăzută la </w:t>
      </w:r>
      <w:r w:rsidRPr="00B66477">
        <w:rPr>
          <w:rFonts w:ascii="Times New Roman" w:hAnsi="Times New Roman" w:cs="Times New Roman"/>
          <w:i/>
          <w:iCs/>
          <w:color w:val="008000"/>
          <w:sz w:val="24"/>
          <w:szCs w:val="24"/>
          <w:u w:val="single"/>
        </w:rPr>
        <w:t>art. 2</w:t>
      </w:r>
      <w:r w:rsidRPr="00B664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77" w:rsidRPr="00B66477" w:rsidRDefault="00B66477" w:rsidP="00B6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77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472CE8" w:rsidRPr="00B66477" w:rsidRDefault="00B66477" w:rsidP="00B66477">
      <w:pPr>
        <w:jc w:val="both"/>
        <w:rPr>
          <w:sz w:val="24"/>
          <w:szCs w:val="24"/>
        </w:rPr>
      </w:pPr>
      <w:r w:rsidRPr="00B66477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472CE8" w:rsidRPr="00B6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82"/>
    <w:rsid w:val="00255182"/>
    <w:rsid w:val="00472CE8"/>
    <w:rsid w:val="00B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576F-28E6-4C31-BFC9-9F1DF605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1871</Words>
  <Characters>10858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2020-03-27T09:57:00Z</dcterms:created>
  <dcterms:modified xsi:type="dcterms:W3CDTF">2020-03-27T09:58:00Z</dcterms:modified>
</cp:coreProperties>
</file>